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ind w:left="0" w:firstLine="0"/>
        <w:rPr>
          <w:sz w:val="20"/>
          <w:szCs w:val="20"/>
        </w:rPr>
      </w:pPr>
      <w:bookmarkStart w:colFirst="0" w:colLast="0" w:name="_3bywfj4j1zc6" w:id="0"/>
      <w:bookmarkEnd w:id="0"/>
      <w:r w:rsidDel="00000000" w:rsidR="00000000" w:rsidRPr="00000000">
        <w:rPr>
          <w:rtl w:val="0"/>
        </w:rPr>
        <w:t xml:space="preserve">Bourses doctorales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firstLine="0"/>
        <w:rPr/>
      </w:pPr>
      <w:bookmarkStart w:colFirst="0" w:colLast="0" w:name="_54gbo0j26qt5" w:id="1"/>
      <w:bookmarkEnd w:id="1"/>
      <w:r w:rsidDel="00000000" w:rsidR="00000000" w:rsidRPr="00000000">
        <w:rPr>
          <w:rtl w:val="0"/>
        </w:rPr>
        <w:t xml:space="preserve">Formulaire</w:t>
      </w:r>
      <w:r w:rsidDel="00000000" w:rsidR="00000000" w:rsidRPr="00000000">
        <w:rPr>
          <w:rtl w:val="0"/>
        </w:rPr>
        <w:br w:type="textWrapping"/>
        <w:t xml:space="preserve">Date limite pour les candidatures aux bourses de l’UdeM et de l’UQAM : 17 novembre 2023</w:t>
        <w:br w:type="textWrapping"/>
        <w:t xml:space="preserve">Date limite pour les candidatures aux bourses de l’UQO : 19 janvier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5wqst7xodoa" w:id="2"/>
      <w:bookmarkEnd w:id="2"/>
      <w:r w:rsidDel="00000000" w:rsidR="00000000" w:rsidRPr="00000000">
        <w:rPr>
          <w:rtl w:val="0"/>
        </w:rPr>
        <w:t xml:space="preserve">Identification</w:t>
      </w:r>
    </w:p>
    <w:tbl>
      <w:tblPr>
        <w:tblStyle w:val="Table1"/>
        <w:tblW w:w="5490.0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735"/>
        <w:tblGridChange w:id="0">
          <w:tblGrid>
            <w:gridCol w:w="175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complet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Adresse postale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Adresse courriel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Nationalité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ind w:left="3543.3070866141725" w:firstLine="0"/>
        <w:rPr/>
      </w:pPr>
      <w:bookmarkStart w:colFirst="0" w:colLast="0" w:name="_tnx7q4l7vr0z" w:id="3"/>
      <w:bookmarkEnd w:id="3"/>
      <w:r w:rsidDel="00000000" w:rsidR="00000000" w:rsidRPr="00000000">
        <w:rPr>
          <w:rtl w:val="0"/>
        </w:rPr>
        <w:t xml:space="preserve">Recherches</w:t>
      </w:r>
      <w:r w:rsidDel="00000000" w:rsidR="00000000" w:rsidRPr="00000000">
        <w:rPr>
          <w:rtl w:val="0"/>
        </w:rPr>
        <w:t xml:space="preserve"> doctorales</w:t>
      </w:r>
    </w:p>
    <w:tbl>
      <w:tblPr>
        <w:tblStyle w:val="Table2"/>
        <w:tblW w:w="5490.0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735"/>
        <w:tblGridChange w:id="0">
          <w:tblGrid>
            <w:gridCol w:w="175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Titre de la thèse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Université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Directeur·trice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98d04l38nnh2" w:id="4"/>
      <w:bookmarkEnd w:id="4"/>
      <w:commentRangeStart w:id="0"/>
      <w:r w:rsidDel="00000000" w:rsidR="00000000" w:rsidRPr="00000000">
        <w:rPr>
          <w:rtl w:val="0"/>
        </w:rPr>
        <w:t xml:space="preserve">Stade du parcours doctoral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 Pré examen synthèse</w:t>
      </w:r>
    </w:p>
    <w:p w:rsidR="00000000" w:rsidDel="00000000" w:rsidP="00000000" w:rsidRDefault="00000000" w:rsidRPr="00000000" w14:paraId="00000016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 Post examen synthèse</w:t>
      </w:r>
    </w:p>
    <w:p w:rsidR="00000000" w:rsidDel="00000000" w:rsidP="00000000" w:rsidRDefault="00000000" w:rsidRPr="00000000" w14:paraId="00000017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 Fin de rédaction</w:t>
      </w:r>
    </w:p>
    <w:p w:rsidR="00000000" w:rsidDel="00000000" w:rsidP="00000000" w:rsidRDefault="00000000" w:rsidRPr="00000000" w14:paraId="00000018">
      <w:pPr>
        <w:pStyle w:val="Heading1"/>
        <w:ind w:left="3543.3070866141725" w:firstLine="0"/>
        <w:rPr/>
      </w:pPr>
      <w:bookmarkStart w:colFirst="0" w:colLast="0" w:name="_be9bw92ye9cf" w:id="5"/>
      <w:bookmarkEnd w:id="5"/>
      <w:r w:rsidDel="00000000" w:rsidR="00000000" w:rsidRPr="00000000">
        <w:rPr>
          <w:rtl w:val="0"/>
        </w:rPr>
        <w:t xml:space="preserve">Axe(s) de recherche qui s’arriment au projet</w:t>
      </w:r>
    </w:p>
    <w:p w:rsidR="00000000" w:rsidDel="00000000" w:rsidP="00000000" w:rsidRDefault="00000000" w:rsidRPr="00000000" w14:paraId="00000019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 La collection exposée</w:t>
      </w:r>
    </w:p>
    <w:p w:rsidR="00000000" w:rsidDel="00000000" w:rsidP="00000000" w:rsidRDefault="00000000" w:rsidRPr="00000000" w14:paraId="0000001A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 La collection engagée </w:t>
      </w:r>
    </w:p>
    <w:p w:rsidR="00000000" w:rsidDel="00000000" w:rsidP="00000000" w:rsidRDefault="00000000" w:rsidRPr="00000000" w14:paraId="0000001B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 La collection élargie </w:t>
      </w:r>
    </w:p>
    <w:p w:rsidR="00000000" w:rsidDel="00000000" w:rsidP="00000000" w:rsidRDefault="00000000" w:rsidRPr="00000000" w14:paraId="0000001C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▢ La collection partagée</w:t>
      </w:r>
    </w:p>
    <w:p w:rsidR="00000000" w:rsidDel="00000000" w:rsidP="00000000" w:rsidRDefault="00000000" w:rsidRPr="00000000" w14:paraId="0000001D">
      <w:pPr>
        <w:pStyle w:val="Heading1"/>
        <w:spacing w:after="240" w:lineRule="auto"/>
        <w:ind w:left="3543.3070866141725" w:firstLine="0"/>
        <w:rPr/>
      </w:pPr>
      <w:bookmarkStart w:colFirst="0" w:colLast="0" w:name="_3b9qer1lsrie" w:id="6"/>
      <w:bookmarkEnd w:id="6"/>
      <w:r w:rsidDel="00000000" w:rsidR="00000000" w:rsidRPr="00000000">
        <w:rPr>
          <w:rtl w:val="0"/>
        </w:rPr>
        <w:t xml:space="preserve">Sources de financement</w:t>
      </w:r>
    </w:p>
    <w:tbl>
      <w:tblPr>
        <w:tblStyle w:val="Table3"/>
        <w:tblW w:w="5482.6929133858275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2.6929133858275"/>
        <w:tblGridChange w:id="0">
          <w:tblGrid>
            <w:gridCol w:w="5482.6929133858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osée Desforges" w:id="0" w:date="2023-09-06T19:14:36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Ajout demandé par le comité de la recherche. https://docs.google.com/document/d/1RAt1Lcp8nKJiNuteoiM0rmvUgwF87iYTZyS18iLsrTc/edit?usp=drive_link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Arial"/>
  <w:font w:name="Edu Whyte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320"/>
        <w:tab w:val="right" w:leader="none" w:pos="8640"/>
      </w:tabs>
      <w:spacing w:line="276" w:lineRule="auto"/>
      <w:ind w:left="-1417.3228346456694" w:right="-1440" w:firstLine="0"/>
      <w:jc w:val="center"/>
      <w:rPr>
        <w:rFonts w:ascii="Edu Whyte" w:cs="Edu Whyte" w:eastAsia="Edu Whyte" w:hAnsi="Edu Why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320"/>
        <w:tab w:val="right" w:leader="none" w:pos="8640"/>
      </w:tabs>
      <w:spacing w:line="276" w:lineRule="auto"/>
      <w:ind w:left="-1417.3228346456694" w:right="-1440" w:firstLine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04" w:lineRule="auto"/>
      <w:ind w:left="1701" w:firstLine="0"/>
      <w:rPr>
        <w:rFonts w:ascii="Helvetica Neue" w:cs="Helvetica Neue" w:eastAsia="Helvetica Neue" w:hAnsi="Helvetica Neue"/>
        <w:b w:val="1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rtl w:val="0"/>
      </w:rPr>
      <w:t xml:space="preserve">Partenariat </w:t>
    </w:r>
    <w:r w:rsidDel="00000000" w:rsidR="00000000" w:rsidRPr="00000000">
      <w:rPr>
        <w:rFonts w:ascii="Helvetica Neue" w:cs="Helvetica Neue" w:eastAsia="Helvetica Neue" w:hAnsi="Helvetica Neue"/>
        <w:b w:val="1"/>
        <w:i w:val="1"/>
        <w:sz w:val="20"/>
        <w:szCs w:val="20"/>
        <w:rtl w:val="0"/>
      </w:rPr>
      <w:t xml:space="preserve">Des nouveaux usages des collections </w:t>
      <w:br w:type="textWrapping"/>
      <w:t xml:space="preserve">dans les musées d’art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-28574</wp:posOffset>
          </wp:positionV>
          <wp:extent cx="605790" cy="43116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" l="0" r="0" t="8"/>
                  <a:stretch>
                    <a:fillRect/>
                  </a:stretch>
                </pic:blipFill>
                <pic:spPr>
                  <a:xfrm>
                    <a:off x="0" y="0"/>
                    <a:ext cx="605790" cy="431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fr"/>
      </w:rPr>
    </w:rPrDefault>
    <w:pPrDefault>
      <w:pPr>
        <w:spacing w:after="240" w:lineRule="auto"/>
        <w:ind w:left="3401.5748031496064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3543.3070866141725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180" w:lineRule="auto"/>
    </w:pPr>
    <w:rPr>
      <w:rFonts w:ascii="Helvetica Neue" w:cs="Helvetica Neue" w:eastAsia="Helvetica Neue" w:hAnsi="Helvetica Neue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